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476" w:rsidRPr="000D4476" w:rsidRDefault="000D4476" w:rsidP="000D4476">
      <w:pPr>
        <w:spacing w:after="240" w:line="276" w:lineRule="auto"/>
        <w:jc w:val="center"/>
        <w:rPr>
          <w:rFonts w:ascii="Calibri" w:hAnsi="Calibri" w:cs="Calibri"/>
          <w:b/>
          <w:bCs/>
        </w:rPr>
      </w:pPr>
      <w:r w:rsidRPr="000D4476">
        <w:rPr>
          <w:rFonts w:ascii="Calibri" w:hAnsi="Calibri" w:cs="Calibri"/>
          <w:b/>
          <w:bCs/>
        </w:rPr>
        <w:t>EMAN – KAPKA NA KAMENI</w:t>
      </w:r>
    </w:p>
    <w:p w:rsidR="004F4E47" w:rsidRPr="000D4476" w:rsidRDefault="003209C2" w:rsidP="000D4476">
      <w:pPr>
        <w:spacing w:after="240" w:line="276" w:lineRule="auto"/>
        <w:rPr>
          <w:rFonts w:ascii="Calibri" w:hAnsi="Calibri" w:cs="Calibri"/>
          <w:b/>
          <w:bCs/>
        </w:rPr>
      </w:pPr>
      <w:r w:rsidRPr="000D4476">
        <w:rPr>
          <w:rFonts w:ascii="Calibri" w:hAnsi="Calibri" w:cs="Calibri"/>
          <w:b/>
          <w:bCs/>
        </w:rPr>
        <w:t>Příloha č. 1</w:t>
      </w:r>
      <w:r w:rsidR="000D4476">
        <w:rPr>
          <w:rStyle w:val="Znakapoznpodarou"/>
          <w:rFonts w:ascii="Calibri" w:hAnsi="Calibri" w:cs="Calibri"/>
          <w:b/>
          <w:bCs/>
        </w:rPr>
        <w:footnoteReference w:id="1"/>
      </w:r>
    </w:p>
    <w:p w:rsidR="004F4E47" w:rsidRPr="000D4476" w:rsidRDefault="004F4E47" w:rsidP="000D4476">
      <w:pPr>
        <w:spacing w:after="240" w:line="276" w:lineRule="auto"/>
        <w:rPr>
          <w:rFonts w:ascii="Calibri" w:hAnsi="Calibri" w:cs="Calibri"/>
          <w:sz w:val="22"/>
          <w:szCs w:val="22"/>
        </w:rPr>
      </w:pPr>
    </w:p>
    <w:p w:rsidR="004F4E47" w:rsidRPr="000D4476" w:rsidRDefault="003209C2" w:rsidP="000D4476">
      <w:pPr>
        <w:spacing w:after="240" w:line="276" w:lineRule="auto"/>
        <w:rPr>
          <w:rFonts w:ascii="Calibri" w:hAnsi="Calibri" w:cs="Calibri"/>
          <w:b/>
          <w:bCs/>
          <w:sz w:val="22"/>
          <w:szCs w:val="22"/>
        </w:rPr>
      </w:pPr>
      <w:r w:rsidRPr="000D4476">
        <w:rPr>
          <w:rFonts w:ascii="Calibri" w:hAnsi="Calibri" w:cs="Calibri"/>
          <w:b/>
          <w:bCs/>
          <w:sz w:val="22"/>
          <w:szCs w:val="22"/>
        </w:rPr>
        <w:t>1. ČÁST PRO PEDAGOGA</w:t>
      </w:r>
    </w:p>
    <w:p w:rsidR="004F4E47" w:rsidRPr="003209C2" w:rsidRDefault="003209C2" w:rsidP="000D4476">
      <w:pPr>
        <w:spacing w:after="240" w:line="276" w:lineRule="auto"/>
        <w:rPr>
          <w:rFonts w:ascii="Calibri" w:hAnsi="Calibri" w:cs="Calibri"/>
          <w:i/>
          <w:sz w:val="22"/>
          <w:szCs w:val="22"/>
        </w:rPr>
      </w:pPr>
      <w:r w:rsidRPr="003209C2">
        <w:rPr>
          <w:rFonts w:ascii="Calibri" w:hAnsi="Calibri" w:cs="Calibri"/>
          <w:i/>
          <w:sz w:val="22"/>
          <w:szCs w:val="22"/>
        </w:rPr>
        <w:t xml:space="preserve">Eman </w:t>
      </w:r>
      <w:proofErr w:type="spellStart"/>
      <w:r w:rsidRPr="003209C2">
        <w:rPr>
          <w:rFonts w:ascii="Calibri" w:hAnsi="Calibri" w:cs="Calibri"/>
          <w:i/>
          <w:sz w:val="22"/>
          <w:szCs w:val="22"/>
        </w:rPr>
        <w:t>Ghalebová</w:t>
      </w:r>
      <w:proofErr w:type="spellEnd"/>
    </w:p>
    <w:p w:rsidR="004F4E47" w:rsidRPr="007A27EF" w:rsidRDefault="003209C2" w:rsidP="000D4476">
      <w:pPr>
        <w:spacing w:after="240" w:line="276" w:lineRule="auto"/>
        <w:rPr>
          <w:rFonts w:ascii="Calibri" w:hAnsi="Calibri" w:cs="Calibri"/>
          <w:b/>
          <w:sz w:val="22"/>
          <w:szCs w:val="22"/>
        </w:rPr>
      </w:pPr>
      <w:r w:rsidRPr="003209C2">
        <w:rPr>
          <w:rFonts w:ascii="Calibri" w:hAnsi="Calibri" w:cs="Calibri"/>
          <w:i/>
          <w:sz w:val="22"/>
          <w:szCs w:val="22"/>
        </w:rPr>
        <w:t>Studentka, která dokázala spojit lidi různých národností a náboženství (* 1998)</w:t>
      </w:r>
      <w:r>
        <w:rPr>
          <w:rFonts w:ascii="Calibri" w:hAnsi="Calibri" w:cs="Calibri"/>
          <w:i/>
          <w:sz w:val="22"/>
          <w:szCs w:val="22"/>
        </w:rPr>
        <w:t xml:space="preserve"> – </w:t>
      </w:r>
      <w:r w:rsidRPr="003209C2">
        <w:rPr>
          <w:rFonts w:ascii="Calibri" w:hAnsi="Calibri" w:cs="Calibri"/>
          <w:sz w:val="22"/>
          <w:szCs w:val="22"/>
        </w:rPr>
        <w:t xml:space="preserve">úvod z textu knihy, </w:t>
      </w:r>
      <w:r w:rsidRPr="007A27EF">
        <w:rPr>
          <w:rFonts w:ascii="Calibri" w:hAnsi="Calibri" w:cs="Calibri"/>
          <w:b/>
          <w:sz w:val="22"/>
          <w:szCs w:val="22"/>
        </w:rPr>
        <w:t xml:space="preserve">jméno a </w:t>
      </w:r>
      <w:bookmarkStart w:id="0" w:name="_GoBack"/>
      <w:bookmarkEnd w:id="0"/>
      <w:r w:rsidRPr="007A27EF">
        <w:rPr>
          <w:rFonts w:ascii="Calibri" w:hAnsi="Calibri" w:cs="Calibri"/>
          <w:b/>
          <w:sz w:val="22"/>
          <w:szCs w:val="22"/>
        </w:rPr>
        <w:t>informaci o Eman žákům nečteme</w:t>
      </w:r>
    </w:p>
    <w:p w:rsidR="004F4E47" w:rsidRPr="000D4476" w:rsidRDefault="003209C2" w:rsidP="000D4476">
      <w:pPr>
        <w:spacing w:after="240" w:line="276" w:lineRule="auto"/>
        <w:rPr>
          <w:rFonts w:ascii="Calibri" w:hAnsi="Calibri" w:cs="Calibri"/>
          <w:sz w:val="22"/>
          <w:szCs w:val="22"/>
        </w:rPr>
      </w:pPr>
      <w:r w:rsidRPr="000D4476">
        <w:rPr>
          <w:rFonts w:ascii="Calibri" w:hAnsi="Calibri" w:cs="Calibri"/>
          <w:sz w:val="22"/>
          <w:szCs w:val="22"/>
        </w:rPr>
        <w:t>V severních Čechách se nachází lázeňské město Teplice. Léčí se zde především problémy pohybového aparátu. Kromě dospělých přijíždí na rehabilitaci i mnoho dětí, třeba po dětské mozkové obrně. Lázeňská péče jim pomáhá, aby rozhýbaly své tělo. Učí se například chodit v kosmickém oblečku. Ten byl původně vyvinutý pro kosmonauty, kteří jsou dlouhodobě vystaveni stavu beztíže a musí posilovat svaly a trénovat klouby. Lázně jsou oblíbené nejen pro pacienty z Čech, ale míří sem každý rok i tisíce lidí ze zahraničí. Zvláště oblíbené jsou zdejší procedury u klientů z Blízkého východu. Asi i proto, že v Teplicích žije silná muslimská komunita. Proto není výjimkou, když pacienty z Kuvajtu léčí doktor, jehož mateřským jazykem je arabština. Teplice díky tomu vzkvétají a daří se tu čilému lázeňskému životu.</w:t>
      </w:r>
    </w:p>
    <w:p w:rsidR="004F4E47" w:rsidRPr="000D4476" w:rsidRDefault="003209C2" w:rsidP="000D4476">
      <w:pPr>
        <w:spacing w:after="240" w:line="276" w:lineRule="auto"/>
        <w:rPr>
          <w:rFonts w:ascii="Calibri" w:hAnsi="Calibri" w:cs="Calibri"/>
          <w:sz w:val="22"/>
          <w:szCs w:val="22"/>
        </w:rPr>
      </w:pPr>
      <w:r w:rsidRPr="000D4476">
        <w:rPr>
          <w:rFonts w:ascii="Calibri" w:hAnsi="Calibri" w:cs="Calibri"/>
          <w:sz w:val="22"/>
          <w:szCs w:val="22"/>
        </w:rPr>
        <w:t>I tak se ale může stát, že se lidé nepohodnou. K tomu došlo v Teplicích. Lázeňští hosté z Blízkého východu si rádi dělali pikniky v Šanovských sadech a sadech Československé armády. S oblibou se scházeli, grilovali, děti si hrály a pobíhaly okolo. Lidé z okolních domů si začali stěžovat na nepořádek, který po nich v parcích zůstává, a také na hluk, který trvá dlouho do noci. Těchto sousedských třenic se chytili někteří politici, kteří tvrdili, že nepořádek a rámus v parku jsou důkazem toho, že lidé různých náboženství a kultur spolu nemůžou dobře vycházet. „Ať zůstanou doma, když se neumějí slušně chovat,“ mysleli si, a nedocházelo jim, že bez klientů by lázně nemohly fungovat a musely by je zavřít.</w:t>
      </w:r>
    </w:p>
    <w:p w:rsidR="004F4E47" w:rsidRPr="000D4476" w:rsidRDefault="004F4E47" w:rsidP="000D4476">
      <w:pPr>
        <w:spacing w:after="240" w:line="276" w:lineRule="auto"/>
        <w:rPr>
          <w:rFonts w:ascii="Calibri" w:hAnsi="Calibri" w:cs="Calibri"/>
          <w:sz w:val="22"/>
          <w:szCs w:val="22"/>
        </w:rPr>
      </w:pPr>
    </w:p>
    <w:p w:rsidR="004F4E47" w:rsidRPr="000D4476" w:rsidRDefault="004F4E47" w:rsidP="000D4476">
      <w:pPr>
        <w:spacing w:after="240" w:line="276" w:lineRule="auto"/>
        <w:rPr>
          <w:rFonts w:ascii="Calibri" w:hAnsi="Calibri"/>
          <w:sz w:val="22"/>
          <w:szCs w:val="22"/>
        </w:rPr>
      </w:pPr>
    </w:p>
    <w:p w:rsidR="004F4E47" w:rsidRPr="000D4476" w:rsidRDefault="003209C2" w:rsidP="000D4476">
      <w:pPr>
        <w:spacing w:after="240" w:line="276" w:lineRule="auto"/>
        <w:rPr>
          <w:rFonts w:ascii="Calibri" w:hAnsi="Calibri" w:cs="Calibri"/>
          <w:sz w:val="22"/>
          <w:szCs w:val="22"/>
        </w:rPr>
      </w:pPr>
      <w:r w:rsidRPr="000D4476">
        <w:rPr>
          <w:sz w:val="22"/>
          <w:szCs w:val="22"/>
        </w:rPr>
        <w:br w:type="page"/>
      </w:r>
    </w:p>
    <w:p w:rsidR="004F4E47" w:rsidRPr="000D4476" w:rsidRDefault="003209C2" w:rsidP="000D4476">
      <w:pPr>
        <w:spacing w:after="240" w:line="276" w:lineRule="auto"/>
        <w:rPr>
          <w:rFonts w:ascii="Calibri" w:hAnsi="Calibri" w:cs="Calibri"/>
          <w:b/>
          <w:bCs/>
          <w:sz w:val="22"/>
          <w:szCs w:val="22"/>
        </w:rPr>
      </w:pPr>
      <w:r w:rsidRPr="000D4476">
        <w:rPr>
          <w:rFonts w:ascii="Calibri" w:hAnsi="Calibri" w:cs="Calibri"/>
          <w:b/>
          <w:bCs/>
          <w:sz w:val="22"/>
          <w:szCs w:val="22"/>
        </w:rPr>
        <w:lastRenderedPageBreak/>
        <w:t>2. ČÁST</w:t>
      </w:r>
    </w:p>
    <w:p w:rsidR="004F4E47" w:rsidRPr="000D4476" w:rsidRDefault="003209C2" w:rsidP="000D4476">
      <w:pPr>
        <w:spacing w:after="240" w:line="276" w:lineRule="auto"/>
        <w:rPr>
          <w:rFonts w:ascii="Calibri" w:hAnsi="Calibri" w:cs="Calibri"/>
          <w:sz w:val="22"/>
          <w:szCs w:val="22"/>
        </w:rPr>
      </w:pPr>
      <w:r w:rsidRPr="000D4476">
        <w:rPr>
          <w:rFonts w:ascii="Calibri" w:hAnsi="Calibri" w:cs="Calibri"/>
          <w:sz w:val="22"/>
          <w:szCs w:val="22"/>
        </w:rPr>
        <w:t xml:space="preserve">Sílící spory velmi mrzely studentku gymnázia Eman </w:t>
      </w:r>
      <w:proofErr w:type="spellStart"/>
      <w:r w:rsidRPr="000D4476">
        <w:rPr>
          <w:rFonts w:ascii="Calibri" w:hAnsi="Calibri" w:cs="Calibri"/>
          <w:sz w:val="22"/>
          <w:szCs w:val="22"/>
        </w:rPr>
        <w:t>Ghalebovou</w:t>
      </w:r>
      <w:proofErr w:type="spellEnd"/>
      <w:r w:rsidRPr="000D4476">
        <w:rPr>
          <w:rFonts w:ascii="Calibri" w:hAnsi="Calibri" w:cs="Calibri"/>
          <w:sz w:val="22"/>
          <w:szCs w:val="22"/>
        </w:rPr>
        <w:t xml:space="preserve">. Eman přišla do Čech s rodiči z Jemenu, když jí bylo pět let. Její tatínek je lékař a maminka je na mateřské dovolené s nejmladší sestřičkou. Eman trápilo, že televize a další média ukazovala odpadky z pikniků jako něco, co je pro muslimy typické. Média hlásala, že muslimové jsou strašní, neslušní a nedá se s nimi žít. Na druhé straně zase v muslimských hostech rostl pocit, že je Češi nesnášejí. Maminky a tatínci z arabských států se začínali bát o své děti. Vůbec nerozuměli, proč se na ně někteří místní obyvatelé a lázeňští hosté z Čech dívají s takovou nevraživostí. Eman bylo jasné, že je to výsledek nedorozumění. Rozhodla se proto jednat. Vymyslela, jak konflikt vyřešit. </w:t>
      </w:r>
    </w:p>
    <w:p w:rsidR="004F4E47" w:rsidRPr="000D4476" w:rsidRDefault="003209C2" w:rsidP="000D4476">
      <w:pPr>
        <w:spacing w:after="240" w:line="276" w:lineRule="auto"/>
        <w:rPr>
          <w:rFonts w:ascii="Calibri" w:hAnsi="Calibri" w:cs="Calibri"/>
          <w:sz w:val="22"/>
          <w:szCs w:val="22"/>
        </w:rPr>
      </w:pPr>
      <w:r w:rsidRPr="000D4476">
        <w:rPr>
          <w:rFonts w:ascii="Calibri" w:hAnsi="Calibri" w:cs="Calibri"/>
          <w:sz w:val="22"/>
          <w:szCs w:val="22"/>
        </w:rPr>
        <w:t>Domluvila se s dalšími teplickými muslimy, že půjdou parky uklidit. Nasadili si reflexní vesty, natáhli rukavice a vydali se sbírat odpadky. Eman nešla muslimským hostům vynadat, že jsou nepořádní a hluční, a přikázat jim, ať se chovají správně. Věděla, že jejich chování souvisí se stylem života, jaký je běžný v Perském zálivu. Lidé jsou tam často zvyklí, že mají služebnictvo, které uklidí za ně. V zemích Blízkého východu je přes den veliké vedro, a tak je běžné, že přes den jsou lidé schovaní v domech a začnou se scházet až po západu slunce, když se vzduch ochladí. Proto jim připadá normální bavit se a radovat ze života i pozdě v noci. Nikdo jim nevysvětlil, že ve střední Evropě plyne život jinak.</w:t>
      </w:r>
    </w:p>
    <w:p w:rsidR="004F4E47" w:rsidRPr="000D4476" w:rsidRDefault="003209C2" w:rsidP="000D4476">
      <w:pPr>
        <w:spacing w:after="240" w:line="276" w:lineRule="auto"/>
        <w:rPr>
          <w:rFonts w:ascii="Calibri" w:hAnsi="Calibri" w:cs="Calibri"/>
          <w:sz w:val="22"/>
          <w:szCs w:val="22"/>
        </w:rPr>
      </w:pPr>
      <w:r w:rsidRPr="000D4476">
        <w:rPr>
          <w:rFonts w:ascii="Calibri" w:hAnsi="Calibri" w:cs="Calibri"/>
          <w:sz w:val="22"/>
          <w:szCs w:val="22"/>
        </w:rPr>
        <w:t>Eman a její přátelé začali uklízet, hosté si jich všimli a dali se s nimi do řeči. Šlo to snadno, protože tepličtí muslimové uměli arabsky. „Odkud jste? Proč tu uklízíte?“ zajímali se muslimští lázeňští hosté. Eman a její přátelé dostali příležitost vysvětlit, že jsou čeští muslimové a uklízejí proto, že v Čechách je třeba veřejné prostranství po grilování a zábavě uvést do původního stavu. Mluvili i o tom, že v deset večer začíná v českých městech noční klid, protože rámus venku ruší lidi, kteří jsou zvyklí v tuto dobu spát. Arabští hosté byli rádi, že jim někdo vyložil, jak se věci mají v jejich rodném jazyce. Rádi se také zapojili do úklidu, a tak Eman a její kamarádi uklízeli třeba i s profesorem z Kuvajtské univerzity nebo s úředníkem z Ministerstva zdravotnictví. Pro nikoho z nich nebyl problém respektovat zdejší pravidla, jen se o nich museli dozvědět.</w:t>
      </w:r>
    </w:p>
    <w:p w:rsidR="004F4E47" w:rsidRPr="000D4476" w:rsidRDefault="003209C2" w:rsidP="000D4476">
      <w:pPr>
        <w:spacing w:after="240" w:line="276" w:lineRule="auto"/>
        <w:rPr>
          <w:rFonts w:ascii="Calibri" w:hAnsi="Calibri" w:cs="Calibri"/>
          <w:sz w:val="22"/>
          <w:szCs w:val="22"/>
        </w:rPr>
      </w:pPr>
      <w:r w:rsidRPr="000D4476">
        <w:rPr>
          <w:rFonts w:ascii="Calibri" w:hAnsi="Calibri" w:cs="Calibri"/>
          <w:sz w:val="22"/>
          <w:szCs w:val="22"/>
        </w:rPr>
        <w:t>Nikdo z nich nechtěl narušovat pořádek, nebo dokonce provokovat místní. Eman se tak v Teplicích stala známou osobností, která udělala úžasnou věc pro porozumění mezi lidmi a zlepšila život místním obyvatelům i lázeňským hostům.</w:t>
      </w:r>
    </w:p>
    <w:p w:rsidR="004F4E47" w:rsidRPr="000D4476" w:rsidRDefault="004F4E47" w:rsidP="000D4476">
      <w:pPr>
        <w:spacing w:after="240" w:line="276" w:lineRule="auto"/>
        <w:rPr>
          <w:rFonts w:ascii="Calibri" w:hAnsi="Calibri" w:cs="Calibri"/>
          <w:sz w:val="22"/>
          <w:szCs w:val="22"/>
        </w:rPr>
      </w:pPr>
    </w:p>
    <w:p w:rsidR="004F4E47" w:rsidRPr="000D4476" w:rsidRDefault="004F4E47" w:rsidP="000D4476">
      <w:pPr>
        <w:spacing w:after="240" w:line="276" w:lineRule="auto"/>
        <w:rPr>
          <w:rFonts w:ascii="Calibri" w:hAnsi="Calibri" w:cs="Calibri"/>
          <w:sz w:val="22"/>
          <w:szCs w:val="22"/>
        </w:rPr>
      </w:pPr>
    </w:p>
    <w:p w:rsidR="004F4E47" w:rsidRPr="000D4476" w:rsidRDefault="004F4E47" w:rsidP="000D4476">
      <w:pPr>
        <w:spacing w:after="240" w:line="276" w:lineRule="auto"/>
        <w:rPr>
          <w:rFonts w:ascii="Calibri" w:hAnsi="Calibri" w:cs="Calibri"/>
          <w:sz w:val="22"/>
          <w:szCs w:val="22"/>
        </w:rPr>
      </w:pPr>
    </w:p>
    <w:sectPr w:rsidR="004F4E47" w:rsidRPr="000D4476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476" w:rsidRDefault="000D4476" w:rsidP="000D4476">
      <w:r>
        <w:separator/>
      </w:r>
    </w:p>
  </w:endnote>
  <w:endnote w:type="continuationSeparator" w:id="0">
    <w:p w:rsidR="000D4476" w:rsidRDefault="000D4476" w:rsidP="000D4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476" w:rsidRDefault="000D4476" w:rsidP="000D4476">
      <w:r>
        <w:separator/>
      </w:r>
    </w:p>
  </w:footnote>
  <w:footnote w:type="continuationSeparator" w:id="0">
    <w:p w:rsidR="000D4476" w:rsidRDefault="000D4476" w:rsidP="000D4476">
      <w:r>
        <w:continuationSeparator/>
      </w:r>
    </w:p>
  </w:footnote>
  <w:footnote w:id="1">
    <w:p w:rsidR="000D4476" w:rsidRPr="000D4476" w:rsidRDefault="000D4476" w:rsidP="000D4476">
      <w:p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0D4476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0D4476">
        <w:rPr>
          <w:rFonts w:asciiTheme="minorHAnsi" w:hAnsiTheme="minorHAnsi" w:cstheme="minorHAnsi"/>
          <w:sz w:val="18"/>
          <w:szCs w:val="18"/>
        </w:rPr>
        <w:t xml:space="preserve"> Zdroj textů: </w:t>
      </w:r>
      <w:proofErr w:type="spellStart"/>
      <w:r w:rsidRPr="000D4476">
        <w:rPr>
          <w:rFonts w:asciiTheme="minorHAnsi" w:hAnsiTheme="minorHAnsi" w:cstheme="minorHAnsi"/>
          <w:color w:val="000000"/>
          <w:sz w:val="18"/>
          <w:szCs w:val="18"/>
        </w:rPr>
        <w:t>Futová</w:t>
      </w:r>
      <w:proofErr w:type="spellEnd"/>
      <w:r w:rsidRPr="000D4476">
        <w:rPr>
          <w:rFonts w:asciiTheme="minorHAnsi" w:hAnsiTheme="minorHAnsi" w:cstheme="minorHAnsi"/>
          <w:color w:val="000000"/>
          <w:sz w:val="18"/>
          <w:szCs w:val="18"/>
        </w:rPr>
        <w:t xml:space="preserve">, G., Jarkovská, L., </w:t>
      </w:r>
      <w:proofErr w:type="spellStart"/>
      <w:r w:rsidRPr="000D4476">
        <w:rPr>
          <w:rFonts w:asciiTheme="minorHAnsi" w:hAnsiTheme="minorHAnsi" w:cstheme="minorHAnsi"/>
          <w:color w:val="000000"/>
          <w:sz w:val="18"/>
          <w:szCs w:val="18"/>
        </w:rPr>
        <w:t>Kapráliková</w:t>
      </w:r>
      <w:proofErr w:type="spellEnd"/>
      <w:r w:rsidRPr="000D4476">
        <w:rPr>
          <w:rFonts w:asciiTheme="minorHAnsi" w:hAnsiTheme="minorHAnsi" w:cstheme="minorHAnsi"/>
          <w:color w:val="000000"/>
          <w:sz w:val="18"/>
          <w:szCs w:val="18"/>
        </w:rPr>
        <w:t xml:space="preserve">, M., </w:t>
      </w:r>
      <w:proofErr w:type="spellStart"/>
      <w:r w:rsidRPr="000D4476">
        <w:rPr>
          <w:rFonts w:asciiTheme="minorHAnsi" w:hAnsiTheme="minorHAnsi" w:cstheme="minorHAnsi"/>
          <w:color w:val="000000"/>
          <w:sz w:val="18"/>
          <w:szCs w:val="18"/>
        </w:rPr>
        <w:t>Kompaníková</w:t>
      </w:r>
      <w:proofErr w:type="spellEnd"/>
      <w:r w:rsidRPr="000D4476">
        <w:rPr>
          <w:rFonts w:asciiTheme="minorHAnsi" w:hAnsiTheme="minorHAnsi" w:cstheme="minorHAnsi"/>
          <w:color w:val="000000"/>
          <w:sz w:val="18"/>
          <w:szCs w:val="18"/>
        </w:rPr>
        <w:t xml:space="preserve">, M., </w:t>
      </w:r>
      <w:proofErr w:type="spellStart"/>
      <w:r w:rsidRPr="000D4476">
        <w:rPr>
          <w:rFonts w:asciiTheme="minorHAnsi" w:hAnsiTheme="minorHAnsi" w:cstheme="minorHAnsi"/>
          <w:color w:val="000000"/>
          <w:sz w:val="18"/>
          <w:szCs w:val="18"/>
        </w:rPr>
        <w:t>Krutílková</w:t>
      </w:r>
      <w:proofErr w:type="spellEnd"/>
      <w:r w:rsidRPr="000D4476">
        <w:rPr>
          <w:rFonts w:asciiTheme="minorHAnsi" w:hAnsiTheme="minorHAnsi" w:cstheme="minorHAnsi"/>
          <w:color w:val="000000"/>
          <w:sz w:val="18"/>
          <w:szCs w:val="18"/>
        </w:rPr>
        <w:t xml:space="preserve">, H. et al. </w:t>
      </w:r>
      <w:r w:rsidRPr="000D4476">
        <w:rPr>
          <w:rFonts w:asciiTheme="minorHAnsi" w:hAnsiTheme="minorHAnsi" w:cstheme="minorHAnsi"/>
          <w:i/>
          <w:color w:val="000000"/>
          <w:sz w:val="18"/>
          <w:szCs w:val="18"/>
        </w:rPr>
        <w:t>Kapky na kameni: 50 příběhů českých a slovenských rebelek</w:t>
      </w:r>
      <w:r w:rsidRPr="000D4476">
        <w:rPr>
          <w:rFonts w:asciiTheme="minorHAnsi" w:hAnsiTheme="minorHAnsi" w:cstheme="minorHAnsi"/>
          <w:color w:val="000000"/>
          <w:sz w:val="18"/>
          <w:szCs w:val="18"/>
        </w:rPr>
        <w:t xml:space="preserve">. Přeložil Martin </w:t>
      </w:r>
      <w:proofErr w:type="spellStart"/>
      <w:r w:rsidRPr="000D4476">
        <w:rPr>
          <w:rFonts w:asciiTheme="minorHAnsi" w:hAnsiTheme="minorHAnsi" w:cstheme="minorHAnsi"/>
          <w:color w:val="000000"/>
          <w:sz w:val="18"/>
          <w:szCs w:val="18"/>
        </w:rPr>
        <w:t>Herodek</w:t>
      </w:r>
      <w:proofErr w:type="spellEnd"/>
      <w:r w:rsidRPr="000D4476">
        <w:rPr>
          <w:rFonts w:asciiTheme="minorHAnsi" w:hAnsiTheme="minorHAnsi" w:cstheme="minorHAnsi"/>
          <w:color w:val="000000"/>
          <w:sz w:val="18"/>
          <w:szCs w:val="18"/>
        </w:rPr>
        <w:t>. Praha: Albatros, [2019]. ISBN 978-80-00-05673-9.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47"/>
    <w:rsid w:val="000D4476"/>
    <w:rsid w:val="003209C2"/>
    <w:rsid w:val="004F4E47"/>
    <w:rsid w:val="007A27EF"/>
    <w:rsid w:val="00CD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qFormat/>
    <w:rsid w:val="00F10EF0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F10EF0"/>
    <w:rPr>
      <w:rFonts w:cs="Mangal"/>
      <w:sz w:val="20"/>
      <w:szCs w:val="18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F10EF0"/>
    <w:rPr>
      <w:rFonts w:cs="Mangal"/>
      <w:b/>
      <w:bCs/>
      <w:sz w:val="20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BD753A"/>
    <w:rPr>
      <w:rFonts w:ascii="Tahoma" w:hAnsi="Tahoma" w:cs="Mangal"/>
      <w:sz w:val="16"/>
      <w:szCs w:val="14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qFormat/>
    <w:pPr>
      <w:suppressLineNumbers/>
    </w:pPr>
  </w:style>
  <w:style w:type="paragraph" w:styleId="Revize">
    <w:name w:val="Revision"/>
    <w:uiPriority w:val="99"/>
    <w:semiHidden/>
    <w:qFormat/>
    <w:rsid w:val="00F10EF0"/>
    <w:pPr>
      <w:suppressAutoHyphens w:val="0"/>
    </w:pPr>
    <w:rPr>
      <w:rFonts w:cs="Mangal"/>
      <w:szCs w:val="21"/>
    </w:rPr>
  </w:style>
  <w:style w:type="paragraph" w:styleId="Textkomente">
    <w:name w:val="annotation text"/>
    <w:basedOn w:val="Normln"/>
    <w:link w:val="TextkomenteChar"/>
    <w:uiPriority w:val="99"/>
    <w:semiHidden/>
    <w:unhideWhenUsed/>
    <w:qFormat/>
    <w:rsid w:val="00F10EF0"/>
    <w:rPr>
      <w:rFonts w:cs="Mangal"/>
      <w:sz w:val="20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F10EF0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BD753A"/>
    <w:rPr>
      <w:rFonts w:ascii="Tahoma" w:hAnsi="Tahoma" w:cs="Mangal"/>
      <w:sz w:val="16"/>
      <w:szCs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D4476"/>
    <w:rPr>
      <w:rFonts w:cs="Mangal"/>
      <w:sz w:val="20"/>
      <w:szCs w:val="18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D4476"/>
    <w:rPr>
      <w:rFonts w:cs="Mangal"/>
      <w:sz w:val="20"/>
      <w:szCs w:val="18"/>
    </w:rPr>
  </w:style>
  <w:style w:type="character" w:styleId="Znakapoznpodarou">
    <w:name w:val="footnote reference"/>
    <w:basedOn w:val="Standardnpsmoodstavce"/>
    <w:uiPriority w:val="99"/>
    <w:semiHidden/>
    <w:unhideWhenUsed/>
    <w:rsid w:val="000D447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qFormat/>
    <w:rsid w:val="00F10EF0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F10EF0"/>
    <w:rPr>
      <w:rFonts w:cs="Mangal"/>
      <w:sz w:val="20"/>
      <w:szCs w:val="18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F10EF0"/>
    <w:rPr>
      <w:rFonts w:cs="Mangal"/>
      <w:b/>
      <w:bCs/>
      <w:sz w:val="20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BD753A"/>
    <w:rPr>
      <w:rFonts w:ascii="Tahoma" w:hAnsi="Tahoma" w:cs="Mangal"/>
      <w:sz w:val="16"/>
      <w:szCs w:val="14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qFormat/>
    <w:pPr>
      <w:suppressLineNumbers/>
    </w:pPr>
  </w:style>
  <w:style w:type="paragraph" w:styleId="Revize">
    <w:name w:val="Revision"/>
    <w:uiPriority w:val="99"/>
    <w:semiHidden/>
    <w:qFormat/>
    <w:rsid w:val="00F10EF0"/>
    <w:pPr>
      <w:suppressAutoHyphens w:val="0"/>
    </w:pPr>
    <w:rPr>
      <w:rFonts w:cs="Mangal"/>
      <w:szCs w:val="21"/>
    </w:rPr>
  </w:style>
  <w:style w:type="paragraph" w:styleId="Textkomente">
    <w:name w:val="annotation text"/>
    <w:basedOn w:val="Normln"/>
    <w:link w:val="TextkomenteChar"/>
    <w:uiPriority w:val="99"/>
    <w:semiHidden/>
    <w:unhideWhenUsed/>
    <w:qFormat/>
    <w:rsid w:val="00F10EF0"/>
    <w:rPr>
      <w:rFonts w:cs="Mangal"/>
      <w:sz w:val="20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F10EF0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BD753A"/>
    <w:rPr>
      <w:rFonts w:ascii="Tahoma" w:hAnsi="Tahoma" w:cs="Mangal"/>
      <w:sz w:val="16"/>
      <w:szCs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D4476"/>
    <w:rPr>
      <w:rFonts w:cs="Mangal"/>
      <w:sz w:val="20"/>
      <w:szCs w:val="18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D4476"/>
    <w:rPr>
      <w:rFonts w:cs="Mangal"/>
      <w:sz w:val="20"/>
      <w:szCs w:val="18"/>
    </w:rPr>
  </w:style>
  <w:style w:type="character" w:styleId="Znakapoznpodarou">
    <w:name w:val="footnote reference"/>
    <w:basedOn w:val="Standardnpsmoodstavce"/>
    <w:uiPriority w:val="99"/>
    <w:semiHidden/>
    <w:unhideWhenUsed/>
    <w:rsid w:val="000D44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C22E6-0299-4B15-A517-9FBEE6E9C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622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Arpok</cp:lastModifiedBy>
  <cp:revision>17</cp:revision>
  <cp:lastPrinted>2024-12-02T13:35:00Z</cp:lastPrinted>
  <dcterms:created xsi:type="dcterms:W3CDTF">2024-03-20T17:53:00Z</dcterms:created>
  <dcterms:modified xsi:type="dcterms:W3CDTF">2024-12-10T11:00:00Z</dcterms:modified>
  <dc:language>cs-CZ</dc:language>
</cp:coreProperties>
</file>